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4" w:rsidRDefault="00AF3454" w:rsidP="00B8701A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CC2348" w:rsidRDefault="00F500D7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 w:rsidRPr="002E63F0">
        <w:rPr>
          <w:rFonts w:cstheme="minorHAnsi"/>
          <w:noProof/>
          <w:kern w:val="0"/>
          <w:sz w:val="24"/>
          <w:szCs w:val="24"/>
        </w:rPr>
        <w:drawing>
          <wp:inline distT="0" distB="0" distL="0" distR="0" wp14:anchorId="15E62556" wp14:editId="39330745">
            <wp:extent cx="3278206" cy="2186609"/>
            <wp:effectExtent l="0" t="0" r="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206" cy="218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348" w:rsidRDefault="00CC2348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proofErr w:type="gramStart"/>
      <w:r>
        <w:rPr>
          <w:rFonts w:cstheme="minorHAnsi" w:hint="eastAsia"/>
          <w:b/>
          <w:kern w:val="0"/>
          <w:sz w:val="24"/>
          <w:szCs w:val="24"/>
        </w:rPr>
        <w:t>Figure 1.</w:t>
      </w:r>
      <w:proofErr w:type="gramEnd"/>
      <w:r w:rsidRPr="00CC2348">
        <w:t xml:space="preserve"> </w:t>
      </w:r>
      <w:r w:rsidRPr="00CC2348">
        <w:rPr>
          <w:rFonts w:cstheme="minorHAnsi"/>
          <w:b/>
          <w:kern w:val="0"/>
          <w:sz w:val="24"/>
          <w:szCs w:val="24"/>
        </w:rPr>
        <w:t>Heterogeneity</w:t>
      </w:r>
      <w:r>
        <w:rPr>
          <w:rFonts w:cstheme="minorHAnsi" w:hint="eastAsia"/>
          <w:b/>
          <w:kern w:val="0"/>
          <w:sz w:val="24"/>
          <w:szCs w:val="24"/>
        </w:rPr>
        <w:t xml:space="preserve"> across countries</w:t>
      </w:r>
    </w:p>
    <w:p w:rsidR="0055366C" w:rsidRDefault="0055366C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p w:rsidR="001B1C6A" w:rsidRDefault="001B1C6A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Pr="000D07F1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47BA3B" wp14:editId="29C02527">
            <wp:extent cx="5274310" cy="3053080"/>
            <wp:effectExtent l="0" t="0" r="21590" b="139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6400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 w:rsidRPr="00693AA8">
        <w:rPr>
          <w:rFonts w:cstheme="minorHAnsi" w:hint="eastAsia"/>
          <w:b/>
          <w:kern w:val="0"/>
          <w:sz w:val="24"/>
          <w:szCs w:val="24"/>
        </w:rPr>
        <w:t xml:space="preserve">Figure 2 Interaction between self-efficacy and </w:t>
      </w:r>
      <w:r w:rsidRPr="00693AA8">
        <w:rPr>
          <w:rFonts w:cstheme="minorHAnsi"/>
          <w:b/>
          <w:kern w:val="0"/>
          <w:sz w:val="24"/>
          <w:szCs w:val="24"/>
        </w:rPr>
        <w:t>Institutional Index</w:t>
      </w:r>
    </w:p>
    <w:p w:rsidR="001A6400" w:rsidRPr="00693AA8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p w:rsidR="001A6400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1A6400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5E1A17" wp14:editId="741BC4C9">
            <wp:extent cx="5274310" cy="2930172"/>
            <wp:effectExtent l="0" t="0" r="2159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6400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 w:rsidRPr="00693AA8">
        <w:rPr>
          <w:rFonts w:cstheme="minorHAnsi" w:hint="eastAsia"/>
          <w:b/>
          <w:kern w:val="0"/>
          <w:sz w:val="24"/>
          <w:szCs w:val="24"/>
        </w:rPr>
        <w:t xml:space="preserve">Figure 3 Interaction between risk tolerance and </w:t>
      </w:r>
      <w:r w:rsidRPr="00693AA8">
        <w:rPr>
          <w:rFonts w:cstheme="minorHAnsi"/>
          <w:b/>
          <w:kern w:val="0"/>
          <w:sz w:val="24"/>
          <w:szCs w:val="24"/>
        </w:rPr>
        <w:t>Institutional Index</w:t>
      </w:r>
    </w:p>
    <w:p w:rsidR="001A6400" w:rsidRPr="00693AA8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tbl>
      <w:tblPr>
        <w:tblW w:w="6408" w:type="dxa"/>
        <w:tblInd w:w="93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1B1C6A" w:rsidRPr="001B1C6A" w:rsidTr="008E496C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(9)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(8)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(7)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(6)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0.019*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(5)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(4)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-0.140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0.080**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0.117**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8E496C" w:rsidRDefault="008E496C" w:rsidP="00035B6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E496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Note: ** p&lt;0.01;* p&lt;0.05</w:t>
            </w:r>
            <w:r w:rsidRPr="008E496C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;Source:Own Study</w:t>
            </w: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(3)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-0.106**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-0.039**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0.033**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-0.026**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0.043**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-0.084**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-0.055**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-0.017*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-0.068**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-0.015*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0.052**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0.079**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0.169**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5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S.D.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14.64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5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39.56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3.31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8E496C" w:rsidTr="008E496C">
        <w:trPr>
          <w:trHeight w:val="19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Table 1.Correlation matrix 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Export</w:t>
            </w: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Gender(2)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Age(3)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Income(4)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>Education(5)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>Industry(6)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Self-efficacy(7)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Risk tolerance (8)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Institutional Index(9)</w:t>
            </w: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8E496C" w:rsidRDefault="008E496C" w:rsidP="00035B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</w:tbl>
    <w:p w:rsidR="00035B6B" w:rsidRDefault="00035B6B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F500D7" w:rsidRDefault="00F500D7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8E496C" w:rsidRPr="006B0BC9" w:rsidRDefault="008E496C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007B8D" w:rsidRPr="00196A89" w:rsidRDefault="00007B8D" w:rsidP="00007B8D"/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2620"/>
        <w:gridCol w:w="900"/>
        <w:gridCol w:w="844"/>
        <w:gridCol w:w="680"/>
        <w:gridCol w:w="844"/>
        <w:gridCol w:w="680"/>
        <w:gridCol w:w="844"/>
        <w:gridCol w:w="680"/>
      </w:tblGrid>
      <w:tr w:rsidR="00016464" w:rsidRPr="00233A5D" w:rsidTr="002A746C">
        <w:trPr>
          <w:trHeight w:val="22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eastAsia="宋体" w:cs="Calibri"/>
                <w:b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color w:val="000000"/>
                <w:sz w:val="18"/>
                <w:szCs w:val="14"/>
                <w:lang w:val="en-GB"/>
              </w:rPr>
              <w:lastRenderedPageBreak/>
              <w:t>Table 2.</w:t>
            </w:r>
            <w:r>
              <w:rPr>
                <w:rFonts w:eastAsia="宋体" w:cs="Calibri"/>
                <w:b/>
                <w:color w:val="000000"/>
                <w:sz w:val="18"/>
                <w:szCs w:val="14"/>
                <w:lang w:val="en-GB"/>
              </w:rPr>
              <w:t xml:space="preserve"> Multilevel logistic regression</w:t>
            </w:r>
            <w:r>
              <w:rPr>
                <w:rFonts w:eastAsia="宋体" w:cs="Calibri" w:hint="eastAsia"/>
                <w:b/>
                <w:color w:val="000000"/>
                <w:sz w:val="18"/>
                <w:szCs w:val="14"/>
                <w:lang w:val="en-GB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ascii="Times New Roman" w:eastAsia="宋体" w:hAnsi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016464" w:rsidRPr="008C7DAA" w:rsidTr="002A746C">
        <w:trPr>
          <w:trHeight w:val="225"/>
        </w:trPr>
        <w:tc>
          <w:tcPr>
            <w:tcW w:w="2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color w:val="131313"/>
                <w:sz w:val="16"/>
                <w:szCs w:val="16"/>
                <w:lang w:val="en-GB"/>
              </w:rPr>
            </w:pPr>
            <w:r w:rsidRPr="004D7DDE">
              <w:rPr>
                <w:rFonts w:ascii="Times New Roman" w:eastAsia="宋体" w:hAnsi="Times New Roman" w:hint="eastAsia"/>
                <w:b/>
                <w:bCs/>
                <w:color w:val="131313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ascii="Times New Roman" w:eastAsia="宋体" w:hAnsi="Times New Roman"/>
                <w:b/>
                <w:bCs/>
                <w:color w:val="131313"/>
                <w:sz w:val="16"/>
                <w:szCs w:val="16"/>
                <w:lang w:val="en-GB"/>
              </w:rPr>
            </w:pPr>
            <w:r w:rsidRPr="004D7DDE">
              <w:rPr>
                <w:rFonts w:ascii="Times New Roman" w:eastAsia="宋体" w:hAnsi="Times New Roman" w:hint="eastAsia"/>
                <w:b/>
                <w:bCs/>
                <w:color w:val="131313"/>
                <w:sz w:val="16"/>
                <w:szCs w:val="16"/>
                <w:lang w:val="en-GB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Model 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Model 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Model 3</w:t>
            </w:r>
          </w:p>
        </w:tc>
      </w:tr>
      <w:tr w:rsidR="00016464" w:rsidRPr="008C7DAA" w:rsidTr="002A746C">
        <w:trPr>
          <w:trHeight w:val="540"/>
        </w:trPr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outlineLvl w:val="0"/>
              <w:rPr>
                <w:rFonts w:ascii="Times New Roman" w:eastAsia="宋体" w:hAnsi="Times New Roman"/>
                <w:b/>
                <w:bCs/>
                <w:color w:val="131313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outlineLvl w:val="0"/>
              <w:rPr>
                <w:rFonts w:ascii="Times New Roman" w:eastAsia="宋体" w:hAnsi="Times New Roman"/>
                <w:b/>
                <w:bCs/>
                <w:color w:val="131313"/>
                <w:sz w:val="16"/>
                <w:szCs w:val="16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S.E.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S.E.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S.E.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Fixed effects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Control variables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-0.012***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-0.014***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-0.014***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(0.001)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131313"/>
                <w:sz w:val="14"/>
                <w:szCs w:val="14"/>
                <w:lang w:val="en-GB"/>
              </w:rPr>
              <w:t>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-0.220***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-0.128***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 w:hint="eastAsia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-0.124**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(0.037)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Household income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0.223***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(0.027)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0.180***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(0.027)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0.180***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(0.027)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Education attainment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0.093***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0.061***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0.065***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(0.015)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Industry controls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2"/>
                <w:szCs w:val="12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2"/>
                <w:szCs w:val="12"/>
                <w:lang w:val="en-GB"/>
              </w:rPr>
              <w:t>Extractive industry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outlineLvl w:val="0"/>
              <w:rPr>
                <w:rFonts w:eastAsia="宋体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outlineLvl w:val="0"/>
              <w:rPr>
                <w:rFonts w:eastAsia="宋体" w:cs="Calibri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2"/>
                <w:szCs w:val="12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2"/>
                <w:szCs w:val="12"/>
                <w:lang w:val="en-GB"/>
              </w:rPr>
              <w:t>Transforming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0.306***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0.287***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0.287***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(0.010)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2"/>
                <w:szCs w:val="12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2"/>
                <w:szCs w:val="12"/>
                <w:lang w:val="en-GB"/>
              </w:rPr>
              <w:t>Business service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0.319 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0.298***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0.298***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(0.005)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2"/>
                <w:szCs w:val="12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2"/>
                <w:szCs w:val="12"/>
                <w:lang w:val="en-GB"/>
              </w:rPr>
              <w:t>Customer oriented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0.366***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0.343***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0.342***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(0.006)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Individual-level predictors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Self-efficacy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1.103***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(0.047)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1.085***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(0.046)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Risk attitude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0.151***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(0.041)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0.148***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(0.041)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Country-level predictors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Institutional Index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0.188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(0.339)</w:t>
            </w:r>
          </w:p>
        </w:tc>
      </w:tr>
      <w:tr w:rsidR="00016464" w:rsidRPr="00233A5D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Cross-level three-way interaction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Self-efficacy*Formal Institution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0.469***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</w:t>
            </w:r>
            <w:r>
              <w:rPr>
                <w:rFonts w:eastAsia="宋体" w:cs="Calibri" w:hint="eastAsia"/>
                <w:b/>
                <w:bCs/>
                <w:color w:val="000000"/>
                <w:sz w:val="14"/>
                <w:szCs w:val="14"/>
                <w:lang w:val="en-GB"/>
              </w:rPr>
              <w:t>1</w:t>
            </w: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25)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Risk attitude*Formal Institution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 w:hint="eastAsia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0.313**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(0.</w:t>
            </w:r>
            <w:r>
              <w:rPr>
                <w:rFonts w:eastAsia="宋体" w:cs="Calibri" w:hint="eastAsia"/>
                <w:b/>
                <w:bCs/>
                <w:color w:val="000000"/>
                <w:sz w:val="14"/>
                <w:szCs w:val="14"/>
                <w:lang w:val="en-GB"/>
              </w:rPr>
              <w:t>1</w:t>
            </w:r>
            <w:r w:rsidRPr="004D7DDE">
              <w:rPr>
                <w:rFonts w:eastAsia="宋体" w:cs="Calibri"/>
                <w:b/>
                <w:bCs/>
                <w:color w:val="000000"/>
                <w:sz w:val="14"/>
                <w:szCs w:val="14"/>
                <w:lang w:val="en-GB"/>
              </w:rPr>
              <w:t>15)</w:t>
            </w:r>
          </w:p>
        </w:tc>
      </w:tr>
      <w:tr w:rsidR="00016464" w:rsidRPr="00233A5D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  <w:t>Random effects and model 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Residual country-level variance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0.752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0.752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131313"/>
                <w:sz w:val="14"/>
                <w:szCs w:val="14"/>
                <w:lang w:val="en-GB"/>
              </w:rPr>
              <w:t>0.738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Number of obs.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63,794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63,794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 w:hint="eastAsia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63,79</w:t>
            </w:r>
            <w:r>
              <w:rPr>
                <w:rFonts w:eastAsia="宋体" w:cs="Calibri" w:hint="eastAsia"/>
                <w:color w:val="000000"/>
                <w:sz w:val="14"/>
                <w:szCs w:val="14"/>
                <w:lang w:val="en-GB"/>
              </w:rPr>
              <w:t>4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131313"/>
                <w:sz w:val="14"/>
                <w:szCs w:val="14"/>
                <w:lang w:val="en-GB"/>
              </w:rPr>
              <w:t>Number of countries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6</w:t>
            </w:r>
            <w:r>
              <w:rPr>
                <w:rFonts w:eastAsia="宋体" w:cs="Calibri" w:hint="eastAsia"/>
                <w:color w:val="000000"/>
                <w:sz w:val="14"/>
                <w:szCs w:val="14"/>
                <w:lang w:val="en-GB"/>
              </w:rPr>
              <w:t>4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Log-likelihood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keepNext/>
              <w:keepLines/>
              <w:spacing w:before="480" w:line="240" w:lineRule="exact"/>
              <w:jc w:val="center"/>
              <w:outlineLvl w:val="0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-14082.2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-13757.1</w:t>
            </w: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DA61EC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-13744.8</w:t>
            </w: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</w:tr>
      <w:tr w:rsidR="00016464" w:rsidRPr="008C7DAA" w:rsidTr="002A746C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proofErr w:type="spellStart"/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Akaike</w:t>
            </w:r>
            <w:proofErr w:type="spellEnd"/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Information Criterion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b/>
                <w:bCs/>
                <w:color w:val="131313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 w:hint="eastAsia"/>
                <w:b/>
                <w:bCs/>
                <w:color w:val="131313"/>
                <w:sz w:val="14"/>
                <w:szCs w:val="14"/>
                <w:lang w:val="en-GB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28188.4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3E6B5D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27542.3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DA61EC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27523.7</w:t>
            </w: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</w:tr>
      <w:tr w:rsidR="00016464" w:rsidRPr="00233A5D" w:rsidTr="002A746C">
        <w:trPr>
          <w:trHeight w:val="18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Note: *** p&lt;0.001 ; ** p&lt;0.01;* p&lt;0.05; + p&lt;0.1</w:t>
            </w:r>
          </w:p>
          <w:p w:rsidR="00016464" w:rsidRPr="004D7DDE" w:rsidRDefault="00016464" w:rsidP="002A746C">
            <w:pPr>
              <w:spacing w:line="240" w:lineRule="exact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  <w:r w:rsidRPr="004D7DDE">
              <w:rPr>
                <w:rFonts w:eastAsia="宋体" w:cs="Calibri"/>
                <w:color w:val="000000"/>
                <w:sz w:val="14"/>
                <w:szCs w:val="14"/>
                <w:lang w:val="en-GB"/>
              </w:rPr>
              <w:t>Source: own study.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jc w:val="center"/>
              <w:rPr>
                <w:rFonts w:eastAsia="宋体" w:cs="Calibri"/>
                <w:color w:val="131313"/>
                <w:sz w:val="14"/>
                <w:szCs w:val="14"/>
                <w:lang w:val="en-GB"/>
              </w:rPr>
            </w:pPr>
          </w:p>
        </w:tc>
      </w:tr>
      <w:tr w:rsidR="00016464" w:rsidRPr="00233A5D" w:rsidTr="002A746C">
        <w:trPr>
          <w:trHeight w:val="180"/>
        </w:trPr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464" w:rsidRPr="004D7DDE" w:rsidRDefault="00016464" w:rsidP="002A746C">
            <w:pPr>
              <w:spacing w:line="240" w:lineRule="exact"/>
              <w:rPr>
                <w:rFonts w:eastAsia="宋体" w:cs="Calibri"/>
                <w:color w:val="000000"/>
                <w:sz w:val="14"/>
                <w:szCs w:val="14"/>
                <w:lang w:val="en-GB"/>
              </w:rPr>
            </w:pPr>
          </w:p>
        </w:tc>
      </w:tr>
    </w:tbl>
    <w:p w:rsidR="00016464" w:rsidRPr="00EB52E0" w:rsidRDefault="00016464" w:rsidP="00016464">
      <w:pPr>
        <w:spacing w:line="240" w:lineRule="exact"/>
        <w:rPr>
          <w:lang w:val="pl-PL"/>
        </w:rPr>
      </w:pPr>
    </w:p>
    <w:p w:rsidR="00667E28" w:rsidRPr="00016464" w:rsidRDefault="00667E28" w:rsidP="007E5AF9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667E28" w:rsidRPr="00667E28" w:rsidRDefault="00667E28" w:rsidP="007E5AF9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50579D" w:rsidRPr="00E46E22" w:rsidRDefault="0050579D" w:rsidP="007E5AF9">
      <w:pPr>
        <w:spacing w:line="360" w:lineRule="auto"/>
        <w:ind w:left="480" w:hangingChars="200" w:hanging="480"/>
        <w:rPr>
          <w:rFonts w:cstheme="minorHAnsi"/>
          <w:sz w:val="24"/>
          <w:szCs w:val="24"/>
        </w:rPr>
      </w:pPr>
    </w:p>
    <w:sectPr w:rsidR="0050579D" w:rsidRPr="00E4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AF" w:rsidRDefault="001364AF" w:rsidP="00274C38">
      <w:r>
        <w:separator/>
      </w:r>
    </w:p>
  </w:endnote>
  <w:endnote w:type="continuationSeparator" w:id="0">
    <w:p w:rsidR="001364AF" w:rsidRDefault="001364AF" w:rsidP="0027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4DF60E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dvTT5235d5a9+fb">
    <w:altName w:val="方正舒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dvOTf8f9f135+20">
    <w:altName w:val="Times New Roman"/>
    <w:panose1 w:val="00000000000000000000"/>
    <w:charset w:val="00"/>
    <w:family w:val="roman"/>
    <w:notTrueType/>
    <w:pitch w:val="default"/>
  </w:font>
  <w:font w:name="AdvOTf2586c63.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AF" w:rsidRDefault="001364AF" w:rsidP="00274C38">
      <w:r>
        <w:separator/>
      </w:r>
    </w:p>
  </w:footnote>
  <w:footnote w:type="continuationSeparator" w:id="0">
    <w:p w:rsidR="001364AF" w:rsidRDefault="001364AF" w:rsidP="0027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4FF1"/>
    <w:multiLevelType w:val="hybridMultilevel"/>
    <w:tmpl w:val="2814E9BE"/>
    <w:lvl w:ilvl="0" w:tplc="D5F2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C"/>
    <w:rsid w:val="000027A7"/>
    <w:rsid w:val="00004120"/>
    <w:rsid w:val="00007B8D"/>
    <w:rsid w:val="00016464"/>
    <w:rsid w:val="000301F7"/>
    <w:rsid w:val="00031351"/>
    <w:rsid w:val="00033183"/>
    <w:rsid w:val="0003445D"/>
    <w:rsid w:val="00035B6B"/>
    <w:rsid w:val="00044A7E"/>
    <w:rsid w:val="000457CB"/>
    <w:rsid w:val="00047CCB"/>
    <w:rsid w:val="00050B1C"/>
    <w:rsid w:val="000609E6"/>
    <w:rsid w:val="00073A32"/>
    <w:rsid w:val="000957C6"/>
    <w:rsid w:val="000B34A6"/>
    <w:rsid w:val="000B508E"/>
    <w:rsid w:val="000C1480"/>
    <w:rsid w:val="000C3DDE"/>
    <w:rsid w:val="000C58CB"/>
    <w:rsid w:val="000D07F1"/>
    <w:rsid w:val="000D1CBC"/>
    <w:rsid w:val="000D25C8"/>
    <w:rsid w:val="000D73B2"/>
    <w:rsid w:val="000E3268"/>
    <w:rsid w:val="000E48A2"/>
    <w:rsid w:val="000E4C38"/>
    <w:rsid w:val="000F307A"/>
    <w:rsid w:val="000F369A"/>
    <w:rsid w:val="000F5468"/>
    <w:rsid w:val="000F6979"/>
    <w:rsid w:val="000F7F01"/>
    <w:rsid w:val="001018C3"/>
    <w:rsid w:val="00113433"/>
    <w:rsid w:val="001225F3"/>
    <w:rsid w:val="001276F4"/>
    <w:rsid w:val="001364AF"/>
    <w:rsid w:val="00137B55"/>
    <w:rsid w:val="00137D3A"/>
    <w:rsid w:val="00140829"/>
    <w:rsid w:val="00143455"/>
    <w:rsid w:val="0015496C"/>
    <w:rsid w:val="001564A1"/>
    <w:rsid w:val="00162769"/>
    <w:rsid w:val="001634E7"/>
    <w:rsid w:val="00164C07"/>
    <w:rsid w:val="00180E80"/>
    <w:rsid w:val="00184A77"/>
    <w:rsid w:val="0018544A"/>
    <w:rsid w:val="00187644"/>
    <w:rsid w:val="001A102F"/>
    <w:rsid w:val="001A6400"/>
    <w:rsid w:val="001B1C6A"/>
    <w:rsid w:val="001C2758"/>
    <w:rsid w:val="001C2A6E"/>
    <w:rsid w:val="001D5FD4"/>
    <w:rsid w:val="001E3E01"/>
    <w:rsid w:val="001E4799"/>
    <w:rsid w:val="001E5B47"/>
    <w:rsid w:val="001F0B25"/>
    <w:rsid w:val="001F7D12"/>
    <w:rsid w:val="0020107E"/>
    <w:rsid w:val="00202DC4"/>
    <w:rsid w:val="00214975"/>
    <w:rsid w:val="002214CF"/>
    <w:rsid w:val="00230CA8"/>
    <w:rsid w:val="00231105"/>
    <w:rsid w:val="00243C09"/>
    <w:rsid w:val="002452EB"/>
    <w:rsid w:val="00246A66"/>
    <w:rsid w:val="00252674"/>
    <w:rsid w:val="00252B5A"/>
    <w:rsid w:val="002655B7"/>
    <w:rsid w:val="002663EF"/>
    <w:rsid w:val="00274C38"/>
    <w:rsid w:val="00274C96"/>
    <w:rsid w:val="002754EA"/>
    <w:rsid w:val="00286A11"/>
    <w:rsid w:val="00286C50"/>
    <w:rsid w:val="0029199F"/>
    <w:rsid w:val="002931C9"/>
    <w:rsid w:val="00293D98"/>
    <w:rsid w:val="002951FE"/>
    <w:rsid w:val="002A17AF"/>
    <w:rsid w:val="002A29F2"/>
    <w:rsid w:val="002A2D9D"/>
    <w:rsid w:val="002B64F3"/>
    <w:rsid w:val="002D0A49"/>
    <w:rsid w:val="002D0EE5"/>
    <w:rsid w:val="002D3920"/>
    <w:rsid w:val="002E63F0"/>
    <w:rsid w:val="002F0D58"/>
    <w:rsid w:val="002F17F4"/>
    <w:rsid w:val="002F2B16"/>
    <w:rsid w:val="003008B0"/>
    <w:rsid w:val="00303473"/>
    <w:rsid w:val="003106E4"/>
    <w:rsid w:val="003128C4"/>
    <w:rsid w:val="003131F1"/>
    <w:rsid w:val="00325645"/>
    <w:rsid w:val="003267BA"/>
    <w:rsid w:val="00332C0E"/>
    <w:rsid w:val="0034406A"/>
    <w:rsid w:val="00345153"/>
    <w:rsid w:val="00353CDE"/>
    <w:rsid w:val="00356E55"/>
    <w:rsid w:val="003621E1"/>
    <w:rsid w:val="00364846"/>
    <w:rsid w:val="0037121F"/>
    <w:rsid w:val="003728B0"/>
    <w:rsid w:val="00373042"/>
    <w:rsid w:val="00377898"/>
    <w:rsid w:val="00380AF3"/>
    <w:rsid w:val="00380E7C"/>
    <w:rsid w:val="00384700"/>
    <w:rsid w:val="00391C36"/>
    <w:rsid w:val="0039235B"/>
    <w:rsid w:val="00395B5F"/>
    <w:rsid w:val="003A0961"/>
    <w:rsid w:val="003B1321"/>
    <w:rsid w:val="003C28D8"/>
    <w:rsid w:val="003C7625"/>
    <w:rsid w:val="003D3C7F"/>
    <w:rsid w:val="003D6C7B"/>
    <w:rsid w:val="003F242B"/>
    <w:rsid w:val="003F4EEC"/>
    <w:rsid w:val="003F754A"/>
    <w:rsid w:val="004027E8"/>
    <w:rsid w:val="00405668"/>
    <w:rsid w:val="00407A46"/>
    <w:rsid w:val="00417F4E"/>
    <w:rsid w:val="0042095D"/>
    <w:rsid w:val="00430352"/>
    <w:rsid w:val="004303CB"/>
    <w:rsid w:val="004337C3"/>
    <w:rsid w:val="00435816"/>
    <w:rsid w:val="004377DA"/>
    <w:rsid w:val="00443DE0"/>
    <w:rsid w:val="004461A2"/>
    <w:rsid w:val="00454963"/>
    <w:rsid w:val="004557BF"/>
    <w:rsid w:val="00477027"/>
    <w:rsid w:val="0048064D"/>
    <w:rsid w:val="0048065D"/>
    <w:rsid w:val="00490740"/>
    <w:rsid w:val="0049506E"/>
    <w:rsid w:val="00497E84"/>
    <w:rsid w:val="004A001D"/>
    <w:rsid w:val="004A2829"/>
    <w:rsid w:val="004A39C4"/>
    <w:rsid w:val="004B16E4"/>
    <w:rsid w:val="004B350D"/>
    <w:rsid w:val="004C68F0"/>
    <w:rsid w:val="004E7A11"/>
    <w:rsid w:val="004F3E93"/>
    <w:rsid w:val="004F5E6E"/>
    <w:rsid w:val="0050579D"/>
    <w:rsid w:val="005109D3"/>
    <w:rsid w:val="00512A79"/>
    <w:rsid w:val="0052793F"/>
    <w:rsid w:val="00527BA1"/>
    <w:rsid w:val="00534880"/>
    <w:rsid w:val="00543EA3"/>
    <w:rsid w:val="005466A9"/>
    <w:rsid w:val="0055366C"/>
    <w:rsid w:val="00572958"/>
    <w:rsid w:val="00573831"/>
    <w:rsid w:val="00581351"/>
    <w:rsid w:val="00585C51"/>
    <w:rsid w:val="005919CF"/>
    <w:rsid w:val="005975E3"/>
    <w:rsid w:val="00597832"/>
    <w:rsid w:val="005979D1"/>
    <w:rsid w:val="005A4A5F"/>
    <w:rsid w:val="005B3999"/>
    <w:rsid w:val="005B5BF4"/>
    <w:rsid w:val="005C24ED"/>
    <w:rsid w:val="005D47A5"/>
    <w:rsid w:val="005D6AF0"/>
    <w:rsid w:val="00600360"/>
    <w:rsid w:val="00605721"/>
    <w:rsid w:val="00605D42"/>
    <w:rsid w:val="00616858"/>
    <w:rsid w:val="006172E9"/>
    <w:rsid w:val="00620E92"/>
    <w:rsid w:val="00621A7E"/>
    <w:rsid w:val="006221B8"/>
    <w:rsid w:val="006262EB"/>
    <w:rsid w:val="006311FE"/>
    <w:rsid w:val="0064050F"/>
    <w:rsid w:val="006567C2"/>
    <w:rsid w:val="00657730"/>
    <w:rsid w:val="00663FF8"/>
    <w:rsid w:val="00667E28"/>
    <w:rsid w:val="006707D3"/>
    <w:rsid w:val="00682AE3"/>
    <w:rsid w:val="0068588F"/>
    <w:rsid w:val="0069000F"/>
    <w:rsid w:val="00693AA8"/>
    <w:rsid w:val="006A2AD5"/>
    <w:rsid w:val="006A5C75"/>
    <w:rsid w:val="006A6A49"/>
    <w:rsid w:val="006B0BC9"/>
    <w:rsid w:val="006B4CD2"/>
    <w:rsid w:val="006C58AA"/>
    <w:rsid w:val="006C7FB4"/>
    <w:rsid w:val="006D3E66"/>
    <w:rsid w:val="006E4CE0"/>
    <w:rsid w:val="006F0AE5"/>
    <w:rsid w:val="006F0DA2"/>
    <w:rsid w:val="006F1093"/>
    <w:rsid w:val="006F5F44"/>
    <w:rsid w:val="007009D2"/>
    <w:rsid w:val="00704708"/>
    <w:rsid w:val="00713738"/>
    <w:rsid w:val="00715193"/>
    <w:rsid w:val="00715A13"/>
    <w:rsid w:val="00725E11"/>
    <w:rsid w:val="007262A2"/>
    <w:rsid w:val="007278C5"/>
    <w:rsid w:val="0073199A"/>
    <w:rsid w:val="0074180F"/>
    <w:rsid w:val="007438A8"/>
    <w:rsid w:val="00747982"/>
    <w:rsid w:val="00763A5F"/>
    <w:rsid w:val="00764A11"/>
    <w:rsid w:val="007657E4"/>
    <w:rsid w:val="00765E08"/>
    <w:rsid w:val="0077769E"/>
    <w:rsid w:val="00781150"/>
    <w:rsid w:val="00784F89"/>
    <w:rsid w:val="00787EFD"/>
    <w:rsid w:val="007903A9"/>
    <w:rsid w:val="00790449"/>
    <w:rsid w:val="007905AD"/>
    <w:rsid w:val="00796CFB"/>
    <w:rsid w:val="007A05F0"/>
    <w:rsid w:val="007B0C1D"/>
    <w:rsid w:val="007C28AA"/>
    <w:rsid w:val="007D46A2"/>
    <w:rsid w:val="007E405C"/>
    <w:rsid w:val="007E5AF9"/>
    <w:rsid w:val="007E7DC0"/>
    <w:rsid w:val="00805233"/>
    <w:rsid w:val="00806599"/>
    <w:rsid w:val="00812157"/>
    <w:rsid w:val="00813921"/>
    <w:rsid w:val="00815A56"/>
    <w:rsid w:val="00817082"/>
    <w:rsid w:val="008217B3"/>
    <w:rsid w:val="00822FA3"/>
    <w:rsid w:val="00824388"/>
    <w:rsid w:val="00832A0C"/>
    <w:rsid w:val="00835B1E"/>
    <w:rsid w:val="00837407"/>
    <w:rsid w:val="00842EC5"/>
    <w:rsid w:val="00843D74"/>
    <w:rsid w:val="00846941"/>
    <w:rsid w:val="008510CF"/>
    <w:rsid w:val="008518A5"/>
    <w:rsid w:val="00863F9E"/>
    <w:rsid w:val="0086631A"/>
    <w:rsid w:val="0088735F"/>
    <w:rsid w:val="008874BE"/>
    <w:rsid w:val="00891F8A"/>
    <w:rsid w:val="00893965"/>
    <w:rsid w:val="008A1B2D"/>
    <w:rsid w:val="008A479A"/>
    <w:rsid w:val="008B42C9"/>
    <w:rsid w:val="008B4FD3"/>
    <w:rsid w:val="008C09D4"/>
    <w:rsid w:val="008C15D6"/>
    <w:rsid w:val="008C26B9"/>
    <w:rsid w:val="008C33C9"/>
    <w:rsid w:val="008C4ED8"/>
    <w:rsid w:val="008C667C"/>
    <w:rsid w:val="008D1018"/>
    <w:rsid w:val="008D6E5B"/>
    <w:rsid w:val="008E0110"/>
    <w:rsid w:val="008E496C"/>
    <w:rsid w:val="008F0554"/>
    <w:rsid w:val="008F2AF7"/>
    <w:rsid w:val="008F7859"/>
    <w:rsid w:val="00916130"/>
    <w:rsid w:val="0092246E"/>
    <w:rsid w:val="00927AF9"/>
    <w:rsid w:val="00934D4C"/>
    <w:rsid w:val="00935B20"/>
    <w:rsid w:val="00936E8D"/>
    <w:rsid w:val="00960A92"/>
    <w:rsid w:val="00975575"/>
    <w:rsid w:val="00976D2C"/>
    <w:rsid w:val="00982DBE"/>
    <w:rsid w:val="00983DB5"/>
    <w:rsid w:val="009861AA"/>
    <w:rsid w:val="0099059D"/>
    <w:rsid w:val="0099108A"/>
    <w:rsid w:val="009A128D"/>
    <w:rsid w:val="009A2640"/>
    <w:rsid w:val="009A5437"/>
    <w:rsid w:val="009B0A13"/>
    <w:rsid w:val="009B2069"/>
    <w:rsid w:val="009B2794"/>
    <w:rsid w:val="009B4B00"/>
    <w:rsid w:val="009C1617"/>
    <w:rsid w:val="009C4889"/>
    <w:rsid w:val="009C58F3"/>
    <w:rsid w:val="009C6578"/>
    <w:rsid w:val="009D1B42"/>
    <w:rsid w:val="009D31F8"/>
    <w:rsid w:val="009D3877"/>
    <w:rsid w:val="009E101B"/>
    <w:rsid w:val="009E1CE2"/>
    <w:rsid w:val="009E679D"/>
    <w:rsid w:val="009E7971"/>
    <w:rsid w:val="009F1950"/>
    <w:rsid w:val="009F5933"/>
    <w:rsid w:val="009F69AD"/>
    <w:rsid w:val="00A01379"/>
    <w:rsid w:val="00A01823"/>
    <w:rsid w:val="00A06465"/>
    <w:rsid w:val="00A06887"/>
    <w:rsid w:val="00A12619"/>
    <w:rsid w:val="00A12C79"/>
    <w:rsid w:val="00A15C72"/>
    <w:rsid w:val="00A17328"/>
    <w:rsid w:val="00A22C01"/>
    <w:rsid w:val="00A27481"/>
    <w:rsid w:val="00A31152"/>
    <w:rsid w:val="00A31B37"/>
    <w:rsid w:val="00A334DF"/>
    <w:rsid w:val="00A34306"/>
    <w:rsid w:val="00A40299"/>
    <w:rsid w:val="00A4052F"/>
    <w:rsid w:val="00A424D8"/>
    <w:rsid w:val="00A44278"/>
    <w:rsid w:val="00A450B4"/>
    <w:rsid w:val="00A6012E"/>
    <w:rsid w:val="00A60E0B"/>
    <w:rsid w:val="00A60ED5"/>
    <w:rsid w:val="00A6642B"/>
    <w:rsid w:val="00A86FF9"/>
    <w:rsid w:val="00AB01EA"/>
    <w:rsid w:val="00AC35C9"/>
    <w:rsid w:val="00AC6394"/>
    <w:rsid w:val="00AD0342"/>
    <w:rsid w:val="00AD4A4E"/>
    <w:rsid w:val="00AE3E4F"/>
    <w:rsid w:val="00AF15ED"/>
    <w:rsid w:val="00AF18D2"/>
    <w:rsid w:val="00AF3454"/>
    <w:rsid w:val="00AF65BC"/>
    <w:rsid w:val="00B139F8"/>
    <w:rsid w:val="00B21C32"/>
    <w:rsid w:val="00B3707D"/>
    <w:rsid w:val="00B4568A"/>
    <w:rsid w:val="00B70770"/>
    <w:rsid w:val="00B749AD"/>
    <w:rsid w:val="00B812D8"/>
    <w:rsid w:val="00B82427"/>
    <w:rsid w:val="00B8701A"/>
    <w:rsid w:val="00B87585"/>
    <w:rsid w:val="00B90409"/>
    <w:rsid w:val="00B908FD"/>
    <w:rsid w:val="00B97CEF"/>
    <w:rsid w:val="00BA4754"/>
    <w:rsid w:val="00BB5041"/>
    <w:rsid w:val="00BC2911"/>
    <w:rsid w:val="00BC7D2F"/>
    <w:rsid w:val="00BD4757"/>
    <w:rsid w:val="00BD6ACE"/>
    <w:rsid w:val="00BD6F42"/>
    <w:rsid w:val="00BD781F"/>
    <w:rsid w:val="00BD7D31"/>
    <w:rsid w:val="00BE006D"/>
    <w:rsid w:val="00BE3721"/>
    <w:rsid w:val="00BE654F"/>
    <w:rsid w:val="00BF65DA"/>
    <w:rsid w:val="00BF7997"/>
    <w:rsid w:val="00C0071C"/>
    <w:rsid w:val="00C06D12"/>
    <w:rsid w:val="00C07471"/>
    <w:rsid w:val="00C2299B"/>
    <w:rsid w:val="00C22BE4"/>
    <w:rsid w:val="00C27308"/>
    <w:rsid w:val="00C32A9A"/>
    <w:rsid w:val="00C3491B"/>
    <w:rsid w:val="00C4186D"/>
    <w:rsid w:val="00C4480E"/>
    <w:rsid w:val="00C5138C"/>
    <w:rsid w:val="00C52AA7"/>
    <w:rsid w:val="00C5640E"/>
    <w:rsid w:val="00C63C65"/>
    <w:rsid w:val="00C73DE8"/>
    <w:rsid w:val="00C772FB"/>
    <w:rsid w:val="00C84FC1"/>
    <w:rsid w:val="00C9584A"/>
    <w:rsid w:val="00CA1267"/>
    <w:rsid w:val="00CA6FC4"/>
    <w:rsid w:val="00CB0BA6"/>
    <w:rsid w:val="00CB0DB2"/>
    <w:rsid w:val="00CC2348"/>
    <w:rsid w:val="00CD00CD"/>
    <w:rsid w:val="00CD01DE"/>
    <w:rsid w:val="00CD3C5A"/>
    <w:rsid w:val="00CE03DB"/>
    <w:rsid w:val="00CF4AD1"/>
    <w:rsid w:val="00CF5DF5"/>
    <w:rsid w:val="00CF5E36"/>
    <w:rsid w:val="00D052A8"/>
    <w:rsid w:val="00D0568C"/>
    <w:rsid w:val="00D1239E"/>
    <w:rsid w:val="00D14AD1"/>
    <w:rsid w:val="00D24D76"/>
    <w:rsid w:val="00D33E55"/>
    <w:rsid w:val="00D57F5F"/>
    <w:rsid w:val="00D72128"/>
    <w:rsid w:val="00D769CE"/>
    <w:rsid w:val="00D8407A"/>
    <w:rsid w:val="00D91479"/>
    <w:rsid w:val="00D92488"/>
    <w:rsid w:val="00D9439F"/>
    <w:rsid w:val="00D947DB"/>
    <w:rsid w:val="00DA4975"/>
    <w:rsid w:val="00DA53C5"/>
    <w:rsid w:val="00DA6A1D"/>
    <w:rsid w:val="00DA7173"/>
    <w:rsid w:val="00DC628B"/>
    <w:rsid w:val="00DD4798"/>
    <w:rsid w:val="00DD4F84"/>
    <w:rsid w:val="00DD6D9F"/>
    <w:rsid w:val="00DE05B0"/>
    <w:rsid w:val="00DE7E2D"/>
    <w:rsid w:val="00DF2A19"/>
    <w:rsid w:val="00E00C04"/>
    <w:rsid w:val="00E00C16"/>
    <w:rsid w:val="00E02990"/>
    <w:rsid w:val="00E111C9"/>
    <w:rsid w:val="00E222D7"/>
    <w:rsid w:val="00E32FBD"/>
    <w:rsid w:val="00E40846"/>
    <w:rsid w:val="00E44B72"/>
    <w:rsid w:val="00E46D4C"/>
    <w:rsid w:val="00E46E22"/>
    <w:rsid w:val="00E51851"/>
    <w:rsid w:val="00E6345C"/>
    <w:rsid w:val="00E70B7F"/>
    <w:rsid w:val="00E7525C"/>
    <w:rsid w:val="00E767D4"/>
    <w:rsid w:val="00E804DA"/>
    <w:rsid w:val="00E812CE"/>
    <w:rsid w:val="00E81886"/>
    <w:rsid w:val="00EA0DE6"/>
    <w:rsid w:val="00EA2245"/>
    <w:rsid w:val="00EA25D6"/>
    <w:rsid w:val="00EA32BF"/>
    <w:rsid w:val="00EA69E1"/>
    <w:rsid w:val="00EB02A2"/>
    <w:rsid w:val="00EB21C6"/>
    <w:rsid w:val="00EB2EA9"/>
    <w:rsid w:val="00EB3022"/>
    <w:rsid w:val="00EB3EB8"/>
    <w:rsid w:val="00EC0562"/>
    <w:rsid w:val="00EC5A04"/>
    <w:rsid w:val="00EF1BB7"/>
    <w:rsid w:val="00EF44FE"/>
    <w:rsid w:val="00EF52DB"/>
    <w:rsid w:val="00F03289"/>
    <w:rsid w:val="00F05C51"/>
    <w:rsid w:val="00F079B1"/>
    <w:rsid w:val="00F07DEE"/>
    <w:rsid w:val="00F140B9"/>
    <w:rsid w:val="00F210B2"/>
    <w:rsid w:val="00F251AD"/>
    <w:rsid w:val="00F26075"/>
    <w:rsid w:val="00F276E5"/>
    <w:rsid w:val="00F300EA"/>
    <w:rsid w:val="00F500D7"/>
    <w:rsid w:val="00F66192"/>
    <w:rsid w:val="00F678B1"/>
    <w:rsid w:val="00F67C66"/>
    <w:rsid w:val="00F74E06"/>
    <w:rsid w:val="00F75E50"/>
    <w:rsid w:val="00F76E43"/>
    <w:rsid w:val="00F81C18"/>
    <w:rsid w:val="00F83DC1"/>
    <w:rsid w:val="00F964D7"/>
    <w:rsid w:val="00FA313F"/>
    <w:rsid w:val="00FA539D"/>
    <w:rsid w:val="00FA7055"/>
    <w:rsid w:val="00FB0EE5"/>
    <w:rsid w:val="00FB3130"/>
    <w:rsid w:val="00FB5F67"/>
    <w:rsid w:val="00FB7BAA"/>
    <w:rsid w:val="00FD16EA"/>
    <w:rsid w:val="00FE2909"/>
    <w:rsid w:val="00FF3F6D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C38"/>
    <w:rPr>
      <w:sz w:val="18"/>
      <w:szCs w:val="18"/>
    </w:rPr>
  </w:style>
  <w:style w:type="character" w:customStyle="1" w:styleId="fontstyle01">
    <w:name w:val="fontstyle01"/>
    <w:basedOn w:val="a0"/>
    <w:rsid w:val="00D24D76"/>
    <w:rPr>
      <w:rFonts w:ascii="AdvP4DF60E" w:eastAsia="AdvP4DF60E" w:hint="eastAsia"/>
      <w:b w:val="0"/>
      <w:bCs w:val="0"/>
      <w:i w:val="0"/>
      <w:iCs w:val="0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44A7E"/>
    <w:pPr>
      <w:ind w:firstLineChars="200" w:firstLine="420"/>
    </w:pPr>
  </w:style>
  <w:style w:type="paragraph" w:styleId="a6">
    <w:name w:val="Bibliography"/>
    <w:basedOn w:val="a"/>
    <w:next w:val="a"/>
    <w:uiPriority w:val="37"/>
    <w:unhideWhenUsed/>
    <w:rsid w:val="00391C36"/>
  </w:style>
  <w:style w:type="character" w:customStyle="1" w:styleId="fontstyle21">
    <w:name w:val="fontstyle21"/>
    <w:basedOn w:val="a0"/>
    <w:rsid w:val="00DA4975"/>
    <w:rPr>
      <w:rFonts w:ascii="AdvTT5235d5a9+fb" w:eastAsia="AdvTT5235d5a9+fb" w:hint="eastAsia"/>
      <w:b w:val="0"/>
      <w:bCs w:val="0"/>
      <w:i w:val="0"/>
      <w:iCs w:val="0"/>
      <w:color w:val="231F20"/>
      <w:sz w:val="16"/>
      <w:szCs w:val="16"/>
    </w:rPr>
  </w:style>
  <w:style w:type="character" w:customStyle="1" w:styleId="personname">
    <w:name w:val="person_name"/>
    <w:basedOn w:val="a0"/>
    <w:rsid w:val="003D3C7F"/>
  </w:style>
  <w:style w:type="paragraph" w:styleId="a7">
    <w:name w:val="footnote text"/>
    <w:basedOn w:val="a"/>
    <w:link w:val="Char1"/>
    <w:uiPriority w:val="99"/>
    <w:semiHidden/>
    <w:unhideWhenUsed/>
    <w:rsid w:val="002D0EE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2D0EE5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2D0EE5"/>
    <w:rPr>
      <w:vertAlign w:val="superscript"/>
    </w:rPr>
  </w:style>
  <w:style w:type="paragraph" w:customStyle="1" w:styleId="Default">
    <w:name w:val="Default"/>
    <w:rsid w:val="002D0E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D0E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D0EE5"/>
    <w:rPr>
      <w:sz w:val="18"/>
      <w:szCs w:val="18"/>
    </w:rPr>
  </w:style>
  <w:style w:type="character" w:customStyle="1" w:styleId="fontstyle11">
    <w:name w:val="fontstyle11"/>
    <w:basedOn w:val="a0"/>
    <w:rsid w:val="00DA6A1D"/>
    <w:rPr>
      <w:rFonts w:ascii="AdvOTf8f9f135+20" w:hAnsi="AdvOTf8f9f135+2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76D2C"/>
    <w:rPr>
      <w:rFonts w:ascii="AdvOTf2586c63.I" w:hAnsi="AdvOTf2586c63.I" w:hint="default"/>
      <w:b w:val="0"/>
      <w:bCs w:val="0"/>
      <w:i w:val="0"/>
      <w:iCs w:val="0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438A8"/>
    <w:rPr>
      <w:color w:val="0000FF"/>
      <w:u w:val="single"/>
    </w:rPr>
  </w:style>
  <w:style w:type="table" w:styleId="ab">
    <w:name w:val="Table Grid"/>
    <w:basedOn w:val="a1"/>
    <w:uiPriority w:val="59"/>
    <w:rsid w:val="00F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7E405C"/>
    <w:rPr>
      <w:color w:val="808080"/>
    </w:rPr>
  </w:style>
  <w:style w:type="paragraph" w:styleId="ad">
    <w:name w:val="Normal (Web)"/>
    <w:basedOn w:val="a"/>
    <w:uiPriority w:val="99"/>
    <w:semiHidden/>
    <w:unhideWhenUsed/>
    <w:rsid w:val="002E6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">
    <w:name w:val="st"/>
    <w:basedOn w:val="a0"/>
    <w:rsid w:val="00B7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C38"/>
    <w:rPr>
      <w:sz w:val="18"/>
      <w:szCs w:val="18"/>
    </w:rPr>
  </w:style>
  <w:style w:type="character" w:customStyle="1" w:styleId="fontstyle01">
    <w:name w:val="fontstyle01"/>
    <w:basedOn w:val="a0"/>
    <w:rsid w:val="00D24D76"/>
    <w:rPr>
      <w:rFonts w:ascii="AdvP4DF60E" w:eastAsia="AdvP4DF60E" w:hint="eastAsia"/>
      <w:b w:val="0"/>
      <w:bCs w:val="0"/>
      <w:i w:val="0"/>
      <w:iCs w:val="0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44A7E"/>
    <w:pPr>
      <w:ind w:firstLineChars="200" w:firstLine="420"/>
    </w:pPr>
  </w:style>
  <w:style w:type="paragraph" w:styleId="a6">
    <w:name w:val="Bibliography"/>
    <w:basedOn w:val="a"/>
    <w:next w:val="a"/>
    <w:uiPriority w:val="37"/>
    <w:unhideWhenUsed/>
    <w:rsid w:val="00391C36"/>
  </w:style>
  <w:style w:type="character" w:customStyle="1" w:styleId="fontstyle21">
    <w:name w:val="fontstyle21"/>
    <w:basedOn w:val="a0"/>
    <w:rsid w:val="00DA4975"/>
    <w:rPr>
      <w:rFonts w:ascii="AdvTT5235d5a9+fb" w:eastAsia="AdvTT5235d5a9+fb" w:hint="eastAsia"/>
      <w:b w:val="0"/>
      <w:bCs w:val="0"/>
      <w:i w:val="0"/>
      <w:iCs w:val="0"/>
      <w:color w:val="231F20"/>
      <w:sz w:val="16"/>
      <w:szCs w:val="16"/>
    </w:rPr>
  </w:style>
  <w:style w:type="character" w:customStyle="1" w:styleId="personname">
    <w:name w:val="person_name"/>
    <w:basedOn w:val="a0"/>
    <w:rsid w:val="003D3C7F"/>
  </w:style>
  <w:style w:type="paragraph" w:styleId="a7">
    <w:name w:val="footnote text"/>
    <w:basedOn w:val="a"/>
    <w:link w:val="Char1"/>
    <w:uiPriority w:val="99"/>
    <w:semiHidden/>
    <w:unhideWhenUsed/>
    <w:rsid w:val="002D0EE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2D0EE5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2D0EE5"/>
    <w:rPr>
      <w:vertAlign w:val="superscript"/>
    </w:rPr>
  </w:style>
  <w:style w:type="paragraph" w:customStyle="1" w:styleId="Default">
    <w:name w:val="Default"/>
    <w:rsid w:val="002D0E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D0E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D0EE5"/>
    <w:rPr>
      <w:sz w:val="18"/>
      <w:szCs w:val="18"/>
    </w:rPr>
  </w:style>
  <w:style w:type="character" w:customStyle="1" w:styleId="fontstyle11">
    <w:name w:val="fontstyle11"/>
    <w:basedOn w:val="a0"/>
    <w:rsid w:val="00DA6A1D"/>
    <w:rPr>
      <w:rFonts w:ascii="AdvOTf8f9f135+20" w:hAnsi="AdvOTf8f9f135+2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76D2C"/>
    <w:rPr>
      <w:rFonts w:ascii="AdvOTf2586c63.I" w:hAnsi="AdvOTf2586c63.I" w:hint="default"/>
      <w:b w:val="0"/>
      <w:bCs w:val="0"/>
      <w:i w:val="0"/>
      <w:iCs w:val="0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438A8"/>
    <w:rPr>
      <w:color w:val="0000FF"/>
      <w:u w:val="single"/>
    </w:rPr>
  </w:style>
  <w:style w:type="table" w:styleId="ab">
    <w:name w:val="Table Grid"/>
    <w:basedOn w:val="a1"/>
    <w:uiPriority w:val="59"/>
    <w:rsid w:val="00F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7E405C"/>
    <w:rPr>
      <w:color w:val="808080"/>
    </w:rPr>
  </w:style>
  <w:style w:type="paragraph" w:styleId="ad">
    <w:name w:val="Normal (Web)"/>
    <w:basedOn w:val="a"/>
    <w:uiPriority w:val="99"/>
    <w:semiHidden/>
    <w:unhideWhenUsed/>
    <w:rsid w:val="002E6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">
    <w:name w:val="st"/>
    <w:basedOn w:val="a0"/>
    <w:rsid w:val="00B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2-way_poisson_interaction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2-way_poisson_interaction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95807613981331"/>
          <c:y val="8.2308420056764434E-2"/>
          <c:w val="0.67117588689928898"/>
          <c:h val="0.76631977294228948"/>
        </c:manualLayout>
      </c:layout>
      <c:lineChart>
        <c:grouping val="standard"/>
        <c:varyColors val="0"/>
        <c:ser>
          <c:idx val="0"/>
          <c:order val="0"/>
          <c:tx>
            <c:strRef>
              <c:f>'2 way interactions'!$B$35</c:f>
              <c:strCache>
                <c:ptCount val="1"/>
                <c:pt idx="0">
                  <c:v>Low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Self-efficacy</c:v>
                </c:pt>
                <c:pt idx="8">
                  <c:v>High Self-efficacy</c:v>
                </c:pt>
              </c:strCache>
            </c:strRef>
          </c:cat>
          <c:val>
            <c:numRef>
              <c:f>'2 way interactions'!$C$35:$K$35</c:f>
              <c:numCache>
                <c:formatCode>General</c:formatCode>
                <c:ptCount val="9"/>
                <c:pt idx="0">
                  <c:v>0.88780780076195009</c:v>
                </c:pt>
                <c:pt idx="1">
                  <c:v>0.89471504220630427</c:v>
                </c:pt>
                <c:pt idx="2">
                  <c:v>0.90167602274185543</c:v>
                </c:pt>
                <c:pt idx="3">
                  <c:v>0.90869116046458975</c:v>
                </c:pt>
                <c:pt idx="4">
                  <c:v>0.91576087672332562</c:v>
                </c:pt>
                <c:pt idx="5">
                  <c:v>0.92288559614502119</c:v>
                </c:pt>
                <c:pt idx="6">
                  <c:v>0.93006574666027853</c:v>
                </c:pt>
                <c:pt idx="7">
                  <c:v>0.93730175952904649</c:v>
                </c:pt>
                <c:pt idx="8">
                  <c:v>0.94459406936652346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 way interactions'!$B$36</c:f>
              <c:strCache>
                <c:ptCount val="1"/>
                <c:pt idx="0">
                  <c:v>High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Self-efficacy</c:v>
                </c:pt>
                <c:pt idx="8">
                  <c:v>High Self-efficacy</c:v>
                </c:pt>
              </c:strCache>
            </c:strRef>
          </c:cat>
          <c:val>
            <c:numRef>
              <c:f>'2 way interactions'!$C$36:$K$36</c:f>
              <c:numCache>
                <c:formatCode>General</c:formatCode>
                <c:ptCount val="9"/>
                <c:pt idx="0">
                  <c:v>0.41436833609224244</c:v>
                </c:pt>
                <c:pt idx="1">
                  <c:v>0.52795195169200693</c:v>
                </c:pt>
                <c:pt idx="2">
                  <c:v>0.67267027670123558</c:v>
                </c:pt>
                <c:pt idx="3">
                  <c:v>0.85705772979372286</c:v>
                </c:pt>
                <c:pt idx="4">
                  <c:v>1.0919881220281975</c:v>
                </c:pt>
                <c:pt idx="5">
                  <c:v>1.3913159139672728</c:v>
                </c:pt>
                <c:pt idx="6">
                  <c:v>1.7726932495045968</c:v>
                </c:pt>
                <c:pt idx="7">
                  <c:v>2.2586109490249711</c:v>
                </c:pt>
                <c:pt idx="8">
                  <c:v>2.877724851990672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439296"/>
        <c:axId val="264440832"/>
      </c:lineChart>
      <c:catAx>
        <c:axId val="2644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64440832"/>
        <c:crosses val="autoZero"/>
        <c:auto val="1"/>
        <c:lblAlgn val="ctr"/>
        <c:lblOffset val="100"/>
        <c:tickLblSkip val="8"/>
        <c:tickMarkSkip val="1"/>
        <c:noMultiLvlLbl val="0"/>
      </c:catAx>
      <c:valAx>
        <c:axId val="264440832"/>
        <c:scaling>
          <c:orientation val="minMax"/>
          <c:max val="4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GB" altLang="zh-CN" sz="800" b="1" i="0" baseline="0">
                    <a:effectLst/>
                  </a:rPr>
                  <a:t>Log odds of firm export degree</a:t>
                </a:r>
                <a:endParaRPr lang="zh-CN" altLang="zh-CN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3.7285536676336509E-2"/>
              <c:y val="0.1834702338344070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6443929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922945890041887"/>
          <c:y val="0.39735105535206428"/>
          <c:w val="0.16779388503589365"/>
          <c:h val="0.4117999880696731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95807613981331"/>
          <c:y val="8.2308420056764434E-2"/>
          <c:w val="0.67117588689928898"/>
          <c:h val="0.76631977294228948"/>
        </c:manualLayout>
      </c:layout>
      <c:lineChart>
        <c:grouping val="standard"/>
        <c:varyColors val="0"/>
        <c:ser>
          <c:idx val="0"/>
          <c:order val="0"/>
          <c:tx>
            <c:strRef>
              <c:f>'2 way interactions'!$B$35</c:f>
              <c:strCache>
                <c:ptCount val="1"/>
                <c:pt idx="0">
                  <c:v>Low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Risk Tolerance</c:v>
                </c:pt>
                <c:pt idx="8">
                  <c:v>High Risk Tolerance</c:v>
                </c:pt>
              </c:strCache>
            </c:strRef>
          </c:cat>
          <c:val>
            <c:numRef>
              <c:f>'2 way interactions'!$C$35:$K$35</c:f>
              <c:numCache>
                <c:formatCode>General</c:formatCode>
                <c:ptCount val="9"/>
                <c:pt idx="0">
                  <c:v>0.85044120454023298</c:v>
                </c:pt>
                <c:pt idx="1">
                  <c:v>0.88249690258459546</c:v>
                </c:pt>
                <c:pt idx="2">
                  <c:v>0.91576087672332562</c:v>
                </c:pt>
                <c:pt idx="3">
                  <c:v>0.95027867053242698</c:v>
                </c:pt>
                <c:pt idx="4">
                  <c:v>0.98609754426286189</c:v>
                </c:pt>
                <c:pt idx="5">
                  <c:v>1.0232665395472176</c:v>
                </c:pt>
                <c:pt idx="6">
                  <c:v>1.0618365465453596</c:v>
                </c:pt>
                <c:pt idx="7">
                  <c:v>1.1018603736210106</c:v>
                </c:pt>
                <c:pt idx="8">
                  <c:v>1.1433928196446468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 way interactions'!$B$36</c:f>
              <c:strCache>
                <c:ptCount val="1"/>
                <c:pt idx="0">
                  <c:v>High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Risk Tolerance</c:v>
                </c:pt>
                <c:pt idx="8">
                  <c:v>High Risk Tolerance</c:v>
                </c:pt>
              </c:strCache>
            </c:strRef>
          </c:cat>
          <c:val>
            <c:numRef>
              <c:f>'2 way interactions'!$C$36:$K$36</c:f>
              <c:numCache>
                <c:formatCode>General</c:formatCode>
                <c:ptCount val="9"/>
                <c:pt idx="0">
                  <c:v>0.75051172883706796</c:v>
                </c:pt>
                <c:pt idx="1">
                  <c:v>0.84218969427583401</c:v>
                </c:pt>
                <c:pt idx="2">
                  <c:v>0.94506648449514674</c:v>
                </c:pt>
                <c:pt idx="3">
                  <c:v>1.060510080076438</c:v>
                </c:pt>
                <c:pt idx="4">
                  <c:v>1.1900555658203626</c:v>
                </c:pt>
                <c:pt idx="5">
                  <c:v>1.335425543185734</c:v>
                </c:pt>
                <c:pt idx="6">
                  <c:v>1.4985530361883195</c:v>
                </c:pt>
                <c:pt idx="7">
                  <c:v>1.6816071953454457</c:v>
                </c:pt>
                <c:pt idx="8">
                  <c:v>1.8870221414587378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483200"/>
        <c:axId val="264484736"/>
      </c:lineChart>
      <c:catAx>
        <c:axId val="26448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64484736"/>
        <c:crosses val="autoZero"/>
        <c:auto val="1"/>
        <c:lblAlgn val="ctr"/>
        <c:lblOffset val="100"/>
        <c:tickLblSkip val="8"/>
        <c:tickMarkSkip val="1"/>
        <c:noMultiLvlLbl val="0"/>
      </c:catAx>
      <c:valAx>
        <c:axId val="264484736"/>
        <c:scaling>
          <c:orientation val="minMax"/>
          <c:max val="4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GB" sz="800"/>
                  <a:t>Log odds of irm</a:t>
                </a:r>
                <a:r>
                  <a:rPr lang="en-GB" sz="800" baseline="0"/>
                  <a:t> export degree </a:t>
                </a:r>
                <a:endParaRPr lang="en-GB" sz="800"/>
              </a:p>
            </c:rich>
          </c:tx>
          <c:layout>
            <c:manualLayout>
              <c:xMode val="edge"/>
              <c:yMode val="edge"/>
              <c:x val="2.8728502799965888E-2"/>
              <c:y val="0.194896054118072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6448320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922945890041887"/>
          <c:y val="0.39735105535206428"/>
          <c:w val="0.16779388503589365"/>
          <c:h val="0.3208908971605822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86D-977F-48DE-9A3E-F63658F0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2071</Characters>
  <Application>Microsoft Office Word</Application>
  <DocSecurity>0</DocSecurity>
  <Lines>17</Lines>
  <Paragraphs>4</Paragraphs>
  <ScaleCrop>false</ScaleCrop>
  <Company>User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2017-06-18T03:59:00Z</cp:lastPrinted>
  <dcterms:created xsi:type="dcterms:W3CDTF">2018-04-20T05:10:00Z</dcterms:created>
  <dcterms:modified xsi:type="dcterms:W3CDTF">2018-04-20T05:12:00Z</dcterms:modified>
</cp:coreProperties>
</file>